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85" w:rsidRPr="00A70C85" w:rsidRDefault="00A70C85" w:rsidP="00430C36">
      <w:pPr>
        <w:rPr>
          <w:b/>
        </w:rPr>
      </w:pPr>
      <w:r w:rsidRPr="00A70C85">
        <w:rPr>
          <w:b/>
        </w:rPr>
        <w:t>Bilaga 2</w:t>
      </w:r>
    </w:p>
    <w:p w:rsidR="00A70C85" w:rsidRDefault="00A70C85" w:rsidP="00430C36">
      <w:pPr>
        <w:rPr>
          <w:b/>
        </w:rPr>
      </w:pPr>
      <w:r w:rsidRPr="00A70C85">
        <w:rPr>
          <w:b/>
        </w:rPr>
        <w:t>Underkända motorcyklar med krav på efterkont</w:t>
      </w:r>
      <w:r>
        <w:rPr>
          <w:b/>
        </w:rPr>
        <w:t xml:space="preserve">roll enligt Bilprovningens statistik </w:t>
      </w:r>
    </w:p>
    <w:p w:rsidR="00A70C85" w:rsidRPr="00A70C85" w:rsidRDefault="00A70C85" w:rsidP="00A70C85">
      <w:r w:rsidRPr="00A70C85">
        <w:t>Näringsdepartementet skickade 19 december 2002 ett regleringsbrev till Vägverket. En av punkterna var ”</w:t>
      </w:r>
      <w:r w:rsidRPr="00A70C85">
        <w:rPr>
          <w:i/>
        </w:rPr>
        <w:t>Vägverket ska såvitt avser kontrollbesiktningsverksamheten lämna eventuella förslag till utglesning av kontrollfrekvensen och undersöka möjligheten att undanta vissa fordon från kontroll”.</w:t>
      </w:r>
    </w:p>
    <w:p w:rsidR="00A70C85" w:rsidRDefault="00A70C85" w:rsidP="00430C36">
      <w:r w:rsidRPr="00A70C85">
        <w:t xml:space="preserve">I pressmeddelandet från Näringsdepartementet uttalade </w:t>
      </w:r>
      <w:r>
        <w:t xml:space="preserve">näringsminister Ulrika </w:t>
      </w:r>
      <w:proofErr w:type="gramStart"/>
      <w:r>
        <w:t>Messing :</w:t>
      </w:r>
      <w:proofErr w:type="gramEnd"/>
      <w:r>
        <w:t xml:space="preserve"> </w:t>
      </w:r>
    </w:p>
    <w:p w:rsidR="00A70C85" w:rsidRDefault="00A70C85" w:rsidP="00430C36">
      <w:pPr>
        <w:rPr>
          <w:i/>
        </w:rPr>
      </w:pPr>
      <w:r>
        <w:rPr>
          <w:i/>
        </w:rPr>
        <w:t>”</w:t>
      </w:r>
      <w:r w:rsidRPr="00A70C85">
        <w:rPr>
          <w:i/>
        </w:rPr>
        <w:t xml:space="preserve">Genom ändringen </w:t>
      </w:r>
      <w:r>
        <w:rPr>
          <w:i/>
        </w:rPr>
        <w:t xml:space="preserve">i fordonsförordningen </w:t>
      </w:r>
      <w:r w:rsidRPr="00A70C85">
        <w:rPr>
          <w:i/>
        </w:rPr>
        <w:t>premieras ägarna till två typer av fordon som har relativt få anmärkningar vid kontrollbesiktningen utan att trafiksäkerheten sätts i fara</w:t>
      </w:r>
      <w:r>
        <w:rPr>
          <w:i/>
        </w:rPr>
        <w:t xml:space="preserve">.” </w:t>
      </w:r>
    </w:p>
    <w:p w:rsidR="00A70C85" w:rsidRPr="00A70C85" w:rsidRDefault="00A70C85" w:rsidP="00430C36">
      <w:pPr>
        <w:rPr>
          <w:i/>
        </w:rPr>
      </w:pPr>
    </w:p>
    <w:p w:rsidR="00A70C85" w:rsidRDefault="00A70C85" w:rsidP="00430C36">
      <w:r w:rsidRPr="00A70C85">
        <w:t>Utglesningen av kontrollbesiktning för motorcyklar, släpvagnar och husvagnar</w:t>
      </w:r>
      <w:r>
        <w:t xml:space="preserve"> genomfördes 2004. </w:t>
      </w:r>
      <w:r w:rsidRPr="00A70C85">
        <w:t>Som tabellen nedan visar har motorcyklar fortfarande samma långa underk</w:t>
      </w:r>
      <w:r>
        <w:t xml:space="preserve">ännandenivå. Bilar som testas betydligt </w:t>
      </w:r>
      <w:proofErr w:type="spellStart"/>
      <w:r>
        <w:t>oftrare</w:t>
      </w:r>
      <w:proofErr w:type="spellEnd"/>
      <w:r>
        <w:t xml:space="preserve"> har tre gånger högre underkännande grad. Tunga fordon har den högsta andelen underkännanden. </w:t>
      </w:r>
    </w:p>
    <w:p w:rsidR="00BD638C" w:rsidRPr="00BD638C" w:rsidRDefault="00BD638C" w:rsidP="00430C36">
      <w:pPr>
        <w:rPr>
          <w:lang w:val="en-GB"/>
        </w:rPr>
      </w:pPr>
    </w:p>
    <w:p w:rsidR="00430C36" w:rsidRPr="00A70C85" w:rsidRDefault="00A70C85" w:rsidP="00430C36">
      <w:pPr>
        <w:rPr>
          <w:b/>
        </w:rPr>
      </w:pPr>
      <w:r>
        <w:rPr>
          <w:b/>
        </w:rPr>
        <w:t>År</w:t>
      </w:r>
      <w:r>
        <w:rPr>
          <w:b/>
        </w:rPr>
        <w:tab/>
        <w:t>Motorcyklar</w:t>
      </w:r>
      <w:r>
        <w:rPr>
          <w:b/>
        </w:rPr>
        <w:tab/>
        <w:t>Släpvagnar</w:t>
      </w:r>
      <w:r>
        <w:rPr>
          <w:b/>
        </w:rPr>
        <w:tab/>
        <w:t>Husvagnar</w:t>
      </w:r>
      <w:r>
        <w:rPr>
          <w:b/>
        </w:rPr>
        <w:tab/>
        <w:t>Bilar</w:t>
      </w:r>
    </w:p>
    <w:p w:rsidR="00430C36" w:rsidRPr="00430C36" w:rsidRDefault="00430C36" w:rsidP="00430C36">
      <w:pPr>
        <w:rPr>
          <w:lang w:val="en-GB"/>
        </w:rPr>
      </w:pPr>
      <w:r w:rsidRPr="00430C36">
        <w:rPr>
          <w:lang w:val="en-GB"/>
        </w:rPr>
        <w:t>2004</w:t>
      </w:r>
      <w:r w:rsidRPr="00430C36">
        <w:rPr>
          <w:lang w:val="en-GB"/>
        </w:rPr>
        <w:tab/>
        <w:t>9%</w:t>
      </w:r>
      <w:r w:rsidRPr="00430C36">
        <w:rPr>
          <w:lang w:val="en-GB"/>
        </w:rPr>
        <w:tab/>
        <w:t>19%</w:t>
      </w:r>
      <w:r w:rsidRPr="00430C36">
        <w:rPr>
          <w:lang w:val="en-GB"/>
        </w:rPr>
        <w:tab/>
        <w:t>16%</w:t>
      </w:r>
      <w:r w:rsidRPr="00430C36">
        <w:rPr>
          <w:lang w:val="en-GB"/>
        </w:rPr>
        <w:tab/>
        <w:t>32%</w:t>
      </w:r>
    </w:p>
    <w:p w:rsidR="00430C36" w:rsidRPr="006F72F1" w:rsidRDefault="00430C36" w:rsidP="00430C36">
      <w:pPr>
        <w:rPr>
          <w:lang w:val="en-GB"/>
        </w:rPr>
      </w:pPr>
      <w:r w:rsidRPr="006F72F1">
        <w:rPr>
          <w:lang w:val="en-GB"/>
        </w:rPr>
        <w:t>2005</w:t>
      </w:r>
      <w:r w:rsidRPr="006F72F1">
        <w:rPr>
          <w:lang w:val="en-GB"/>
        </w:rPr>
        <w:tab/>
        <w:t>9%</w:t>
      </w:r>
      <w:r w:rsidRPr="006F72F1">
        <w:rPr>
          <w:lang w:val="en-GB"/>
        </w:rPr>
        <w:tab/>
        <w:t>22%</w:t>
      </w:r>
      <w:r w:rsidRPr="006F72F1">
        <w:rPr>
          <w:lang w:val="en-GB"/>
        </w:rPr>
        <w:tab/>
        <w:t>13%</w:t>
      </w:r>
      <w:r w:rsidRPr="006F72F1">
        <w:rPr>
          <w:lang w:val="en-GB"/>
        </w:rPr>
        <w:tab/>
        <w:t>32%</w:t>
      </w:r>
    </w:p>
    <w:p w:rsidR="00430C36" w:rsidRPr="006F72F1" w:rsidRDefault="00430C36" w:rsidP="00430C36">
      <w:pPr>
        <w:rPr>
          <w:lang w:val="en-GB"/>
        </w:rPr>
      </w:pPr>
      <w:r w:rsidRPr="006F72F1">
        <w:rPr>
          <w:lang w:val="en-GB"/>
        </w:rPr>
        <w:t>2006</w:t>
      </w:r>
      <w:r w:rsidRPr="006F72F1">
        <w:rPr>
          <w:lang w:val="en-GB"/>
        </w:rPr>
        <w:tab/>
        <w:t>10%</w:t>
      </w:r>
      <w:r w:rsidRPr="006F72F1">
        <w:rPr>
          <w:lang w:val="en-GB"/>
        </w:rPr>
        <w:tab/>
        <w:t>26%</w:t>
      </w:r>
      <w:r w:rsidRPr="006F72F1">
        <w:rPr>
          <w:lang w:val="en-GB"/>
        </w:rPr>
        <w:tab/>
        <w:t>22%</w:t>
      </w:r>
      <w:r w:rsidRPr="006F72F1">
        <w:rPr>
          <w:lang w:val="en-GB"/>
        </w:rPr>
        <w:tab/>
        <w:t>32%</w:t>
      </w:r>
    </w:p>
    <w:p w:rsidR="00430C36" w:rsidRPr="006F72F1" w:rsidRDefault="00430C36" w:rsidP="00430C36">
      <w:pPr>
        <w:rPr>
          <w:lang w:val="en-GB"/>
        </w:rPr>
      </w:pPr>
      <w:r w:rsidRPr="006F72F1">
        <w:rPr>
          <w:lang w:val="en-GB"/>
        </w:rPr>
        <w:t>2007</w:t>
      </w:r>
      <w:r w:rsidRPr="006F72F1">
        <w:rPr>
          <w:lang w:val="en-GB"/>
        </w:rPr>
        <w:tab/>
        <w:t>10%</w:t>
      </w:r>
      <w:r w:rsidRPr="006F72F1">
        <w:rPr>
          <w:lang w:val="en-GB"/>
        </w:rPr>
        <w:tab/>
        <w:t>26%</w:t>
      </w:r>
      <w:r w:rsidRPr="006F72F1">
        <w:rPr>
          <w:lang w:val="en-GB"/>
        </w:rPr>
        <w:tab/>
        <w:t>19%</w:t>
      </w:r>
      <w:r w:rsidRPr="006F72F1">
        <w:rPr>
          <w:lang w:val="en-GB"/>
        </w:rPr>
        <w:tab/>
        <w:t>32%</w:t>
      </w:r>
    </w:p>
    <w:p w:rsidR="00430C36" w:rsidRPr="006F72F1" w:rsidRDefault="00430C36" w:rsidP="00430C36">
      <w:pPr>
        <w:rPr>
          <w:lang w:val="en-GB"/>
        </w:rPr>
      </w:pPr>
      <w:r w:rsidRPr="006F72F1">
        <w:rPr>
          <w:lang w:val="en-GB"/>
        </w:rPr>
        <w:t>2008</w:t>
      </w:r>
      <w:r w:rsidR="00B91162" w:rsidRPr="006F72F1">
        <w:rPr>
          <w:lang w:val="en-GB"/>
        </w:rPr>
        <w:tab/>
      </w:r>
      <w:r w:rsidR="006F72F1" w:rsidRPr="006F72F1">
        <w:rPr>
          <w:lang w:val="en-GB"/>
        </w:rPr>
        <w:t>1</w:t>
      </w:r>
      <w:r w:rsidR="006F72F1">
        <w:rPr>
          <w:lang w:val="en-GB"/>
        </w:rPr>
        <w:t>0%</w:t>
      </w:r>
      <w:r w:rsidR="006F72F1">
        <w:rPr>
          <w:lang w:val="en-GB"/>
        </w:rPr>
        <w:tab/>
        <w:t>25%</w:t>
      </w:r>
      <w:r w:rsidR="006F72F1">
        <w:rPr>
          <w:lang w:val="en-GB"/>
        </w:rPr>
        <w:tab/>
        <w:t>22%</w:t>
      </w:r>
      <w:r w:rsidR="006F72F1">
        <w:rPr>
          <w:lang w:val="en-GB"/>
        </w:rPr>
        <w:tab/>
        <w:t>30%</w:t>
      </w:r>
    </w:p>
    <w:p w:rsidR="00430C36" w:rsidRPr="00B91162" w:rsidRDefault="00430C36" w:rsidP="00430C36">
      <w:pPr>
        <w:rPr>
          <w:lang w:val="en-GB"/>
        </w:rPr>
      </w:pPr>
      <w:r w:rsidRPr="00B91162">
        <w:rPr>
          <w:lang w:val="en-GB"/>
        </w:rPr>
        <w:t>2009</w:t>
      </w:r>
      <w:r w:rsidR="00BD638C">
        <w:rPr>
          <w:lang w:val="en-GB"/>
        </w:rPr>
        <w:tab/>
        <w:t>10%</w:t>
      </w:r>
      <w:r w:rsidR="00BD638C">
        <w:rPr>
          <w:lang w:val="en-GB"/>
        </w:rPr>
        <w:tab/>
        <w:t>26%</w:t>
      </w:r>
      <w:r w:rsidR="00BD638C">
        <w:rPr>
          <w:lang w:val="en-GB"/>
        </w:rPr>
        <w:tab/>
        <w:t>26%</w:t>
      </w:r>
      <w:r w:rsidR="00BD638C">
        <w:rPr>
          <w:lang w:val="en-GB"/>
        </w:rPr>
        <w:tab/>
        <w:t>29</w:t>
      </w:r>
      <w:r w:rsidR="00B91162" w:rsidRPr="00B91162">
        <w:rPr>
          <w:lang w:val="en-GB"/>
        </w:rPr>
        <w:t>%</w:t>
      </w:r>
    </w:p>
    <w:p w:rsidR="00430C36" w:rsidRPr="00B91162" w:rsidRDefault="00430C36" w:rsidP="00430C36">
      <w:pPr>
        <w:rPr>
          <w:lang w:val="en-GB"/>
        </w:rPr>
      </w:pPr>
      <w:r w:rsidRPr="00B91162">
        <w:rPr>
          <w:lang w:val="en-GB"/>
        </w:rPr>
        <w:t>2010</w:t>
      </w:r>
      <w:r w:rsidR="00B91162" w:rsidRPr="00B91162">
        <w:rPr>
          <w:lang w:val="en-GB"/>
        </w:rPr>
        <w:tab/>
        <w:t>9%</w:t>
      </w:r>
      <w:r w:rsidR="00B91162" w:rsidRPr="00B91162">
        <w:rPr>
          <w:lang w:val="en-GB"/>
        </w:rPr>
        <w:tab/>
      </w:r>
      <w:r w:rsidR="00BD638C">
        <w:rPr>
          <w:lang w:val="en-GB"/>
        </w:rPr>
        <w:t>24%</w:t>
      </w:r>
      <w:r w:rsidR="00BD638C">
        <w:rPr>
          <w:lang w:val="en-GB"/>
        </w:rPr>
        <w:tab/>
        <w:t>24%</w:t>
      </w:r>
      <w:r w:rsidR="00BD638C">
        <w:rPr>
          <w:lang w:val="en-GB"/>
        </w:rPr>
        <w:tab/>
        <w:t>29</w:t>
      </w:r>
      <w:r w:rsidR="00B91162">
        <w:rPr>
          <w:lang w:val="en-GB"/>
        </w:rPr>
        <w:t>%</w:t>
      </w:r>
    </w:p>
    <w:p w:rsidR="00430C36" w:rsidRPr="00B91162" w:rsidRDefault="00430C36" w:rsidP="00430C36">
      <w:pPr>
        <w:rPr>
          <w:lang w:val="en-GB"/>
        </w:rPr>
      </w:pPr>
      <w:r w:rsidRPr="00B91162">
        <w:rPr>
          <w:lang w:val="en-GB"/>
        </w:rPr>
        <w:t>2011</w:t>
      </w:r>
      <w:r w:rsidR="00BD638C">
        <w:rPr>
          <w:lang w:val="en-GB"/>
        </w:rPr>
        <w:tab/>
        <w:t>9%</w:t>
      </w:r>
      <w:r w:rsidR="00BD638C">
        <w:rPr>
          <w:lang w:val="en-GB"/>
        </w:rPr>
        <w:tab/>
        <w:t>25%</w:t>
      </w:r>
      <w:r w:rsidR="00BD638C">
        <w:rPr>
          <w:lang w:val="en-GB"/>
        </w:rPr>
        <w:tab/>
        <w:t>25%</w:t>
      </w:r>
      <w:r w:rsidR="00BD638C">
        <w:rPr>
          <w:lang w:val="en-GB"/>
        </w:rPr>
        <w:tab/>
        <w:t>31</w:t>
      </w:r>
      <w:r w:rsidR="00B91162">
        <w:rPr>
          <w:lang w:val="en-GB"/>
        </w:rPr>
        <w:t>%</w:t>
      </w:r>
      <w:r w:rsidR="00B91162">
        <w:rPr>
          <w:lang w:val="en-GB"/>
        </w:rPr>
        <w:tab/>
      </w:r>
    </w:p>
    <w:p w:rsidR="00A70C85" w:rsidRDefault="00A70C85" w:rsidP="00430C36">
      <w:pPr>
        <w:rPr>
          <w:lang w:val="en-GB"/>
        </w:rPr>
      </w:pPr>
    </w:p>
    <w:p w:rsidR="00C2573E" w:rsidRPr="00A70C85" w:rsidRDefault="00A70C85" w:rsidP="00430C36">
      <w:r w:rsidRPr="00A70C85">
        <w:t>Källa: Bilprovninge</w:t>
      </w:r>
      <w:r>
        <w:t xml:space="preserve">ns besiktningsstatistik. </w:t>
      </w:r>
      <w:bookmarkStart w:id="0" w:name="_GoBack"/>
      <w:bookmarkEnd w:id="0"/>
    </w:p>
    <w:sectPr w:rsidR="00C2573E" w:rsidRPr="00A70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C"/>
    <w:rsid w:val="0036257C"/>
    <w:rsid w:val="00430C36"/>
    <w:rsid w:val="006F72F1"/>
    <w:rsid w:val="00A70C85"/>
    <w:rsid w:val="00B91162"/>
    <w:rsid w:val="00BD638C"/>
    <w:rsid w:val="00C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Nordqvist</dc:creator>
  <cp:keywords/>
  <dc:description/>
  <cp:lastModifiedBy>Maria Nordqvist</cp:lastModifiedBy>
  <cp:revision>6</cp:revision>
  <dcterms:created xsi:type="dcterms:W3CDTF">2012-07-25T13:07:00Z</dcterms:created>
  <dcterms:modified xsi:type="dcterms:W3CDTF">2012-09-06T09:05:00Z</dcterms:modified>
</cp:coreProperties>
</file>