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3E" w:rsidRPr="00A71C25" w:rsidRDefault="00A71C25">
      <w:pPr>
        <w:rPr>
          <w:rFonts w:ascii="Georgia" w:hAnsi="Georgia"/>
          <w:b/>
          <w:sz w:val="24"/>
          <w:szCs w:val="24"/>
        </w:rPr>
      </w:pPr>
      <w:r w:rsidRPr="00A71C25">
        <w:rPr>
          <w:rFonts w:ascii="Georgia" w:hAnsi="Georgia"/>
          <w:b/>
          <w:sz w:val="24"/>
          <w:szCs w:val="24"/>
        </w:rPr>
        <w:t>Aktuella lagar, förordningar och interna regelverk vid Trafikverket</w:t>
      </w:r>
      <w:r w:rsidRPr="00A71C25">
        <w:rPr>
          <w:rFonts w:ascii="Georgia" w:hAnsi="Georgia"/>
          <w:b/>
          <w:sz w:val="24"/>
          <w:szCs w:val="24"/>
        </w:rPr>
        <w:br/>
      </w:r>
      <w:r w:rsidRPr="00A71C25">
        <w:rPr>
          <w:rFonts w:ascii="Georgia" w:hAnsi="Georgia"/>
          <w:b/>
        </w:rPr>
        <w:br/>
      </w:r>
      <w:r w:rsidR="00214646" w:rsidRPr="00A71C25">
        <w:rPr>
          <w:rFonts w:ascii="Georgia" w:hAnsi="Georgia"/>
          <w:b/>
        </w:rPr>
        <w:t>Vägmärkesförordning (2007:90)</w:t>
      </w:r>
      <w:r w:rsidR="00214646" w:rsidRPr="00A71C25">
        <w:rPr>
          <w:rFonts w:ascii="Georgia" w:hAnsi="Georgia"/>
          <w:b/>
          <w:sz w:val="24"/>
          <w:szCs w:val="24"/>
        </w:rPr>
        <w:t xml:space="preserve"> </w:t>
      </w:r>
    </w:p>
    <w:p w:rsidR="00214646" w:rsidRPr="00A71C25" w:rsidRDefault="00214646">
      <w:pPr>
        <w:rPr>
          <w:rFonts w:ascii="Georgia" w:hAnsi="Georgia"/>
          <w:sz w:val="20"/>
          <w:szCs w:val="20"/>
        </w:rPr>
      </w:pPr>
      <w:r w:rsidRPr="00A71C25">
        <w:rPr>
          <w:rFonts w:ascii="Georgia" w:hAnsi="Georgia"/>
          <w:sz w:val="20"/>
          <w:szCs w:val="20"/>
        </w:rPr>
        <w:t>3 § Vägmärken och andra anordningar skall tillsammans med väg- och gatuutformningen och dess anpassning till väg- och gaturum ge trafikanten vägledning, styrning och information för en effektiv och säker trafik. Vägmärken och andra anordningar skall vara utformade och placerade samt i sådant skick att de kan upptäckas i tid och förstås av de trafikanter som de är avsedda för. De får inte sättas upp så att de innebär fara för eller onödigtvis hindrar trafikanter. Särskild hänsyn skall tas till barn, äldre och funktionshindrade.</w:t>
      </w:r>
    </w:p>
    <w:p w:rsidR="00214646" w:rsidRPr="00A71C25" w:rsidRDefault="00214646">
      <w:pPr>
        <w:rPr>
          <w:rFonts w:ascii="Georgia" w:hAnsi="Georgia"/>
          <w:sz w:val="20"/>
          <w:szCs w:val="20"/>
        </w:rPr>
      </w:pPr>
    </w:p>
    <w:p w:rsidR="00214646" w:rsidRPr="00A71C25" w:rsidRDefault="00214646" w:rsidP="00214646">
      <w:pPr>
        <w:rPr>
          <w:rFonts w:ascii="Georgia" w:hAnsi="Georgia"/>
          <w:b/>
          <w:sz w:val="20"/>
          <w:szCs w:val="20"/>
        </w:rPr>
      </w:pPr>
      <w:r w:rsidRPr="00A71C25">
        <w:rPr>
          <w:rFonts w:ascii="Georgia" w:hAnsi="Georgia"/>
          <w:b/>
          <w:sz w:val="20"/>
          <w:szCs w:val="20"/>
        </w:rPr>
        <w:t>Varningsmärken</w:t>
      </w:r>
    </w:p>
    <w:p w:rsidR="00214646" w:rsidRPr="00A71C25" w:rsidRDefault="00214646" w:rsidP="00214646">
      <w:pPr>
        <w:rPr>
          <w:rFonts w:ascii="Georgia" w:hAnsi="Georgia"/>
          <w:sz w:val="20"/>
          <w:szCs w:val="20"/>
        </w:rPr>
      </w:pPr>
      <w:r w:rsidRPr="00A71C25">
        <w:rPr>
          <w:rFonts w:ascii="Georgia" w:hAnsi="Georgia"/>
          <w:sz w:val="20"/>
          <w:szCs w:val="20"/>
        </w:rPr>
        <w:t xml:space="preserve">4 § Varningsmärken varnar för en fara och upplyser om farans art. </w:t>
      </w:r>
      <w:r w:rsidRPr="00A71C25">
        <w:rPr>
          <w:rFonts w:ascii="Georgia" w:hAnsi="Georgia"/>
          <w:b/>
          <w:sz w:val="20"/>
          <w:szCs w:val="20"/>
        </w:rPr>
        <w:t>Varningsmärken är uppsatta på det avstånd från faran som gör dem mest effektiva såväl på dagen som på natten.</w:t>
      </w:r>
    </w:p>
    <w:p w:rsidR="00214646" w:rsidRPr="00A71C25" w:rsidRDefault="00214646" w:rsidP="00214646">
      <w:pPr>
        <w:rPr>
          <w:rFonts w:ascii="Georgia" w:hAnsi="Georgia"/>
          <w:sz w:val="20"/>
          <w:szCs w:val="20"/>
        </w:rPr>
      </w:pPr>
      <w:r w:rsidRPr="00A71C25">
        <w:rPr>
          <w:rFonts w:ascii="Georgia" w:hAnsi="Georgia"/>
          <w:sz w:val="20"/>
          <w:szCs w:val="20"/>
        </w:rPr>
        <w:t xml:space="preserve">    Om ett varningsmärke används för att ange en fara som sträcker sig över en längre vägsträcka är sträckans längd angiven på en tilläggstavla. Om det behövs kan märket vara upprepat på lämpliga avstånd. </w:t>
      </w:r>
    </w:p>
    <w:p w:rsidR="00214646" w:rsidRPr="00A71C25" w:rsidRDefault="00214646" w:rsidP="00214646">
      <w:pPr>
        <w:rPr>
          <w:rFonts w:ascii="Georgia" w:hAnsi="Georgia"/>
          <w:sz w:val="20"/>
          <w:szCs w:val="20"/>
        </w:rPr>
      </w:pPr>
    </w:p>
    <w:p w:rsidR="00214646" w:rsidRPr="00A71C25" w:rsidRDefault="00214646" w:rsidP="00214646">
      <w:pPr>
        <w:rPr>
          <w:rFonts w:ascii="Georgia" w:hAnsi="Georgia"/>
          <w:b/>
          <w:sz w:val="20"/>
          <w:szCs w:val="20"/>
        </w:rPr>
      </w:pPr>
      <w:r w:rsidRPr="00A71C25">
        <w:rPr>
          <w:rFonts w:ascii="Georgia" w:hAnsi="Georgia"/>
          <w:b/>
          <w:sz w:val="20"/>
          <w:szCs w:val="20"/>
        </w:rPr>
        <w:t>Tilläggstavlor</w:t>
      </w:r>
    </w:p>
    <w:p w:rsidR="00214646" w:rsidRPr="00A71C25" w:rsidRDefault="00214646" w:rsidP="00214646">
      <w:pPr>
        <w:rPr>
          <w:rFonts w:ascii="Georgia" w:hAnsi="Georgia"/>
          <w:sz w:val="20"/>
          <w:szCs w:val="20"/>
        </w:rPr>
      </w:pPr>
      <w:r w:rsidRPr="00A71C25">
        <w:rPr>
          <w:rFonts w:ascii="Georgia" w:hAnsi="Georgia"/>
          <w:b/>
          <w:sz w:val="20"/>
          <w:szCs w:val="20"/>
        </w:rPr>
        <w:t>29 § Tilläggstavlor ger kompletterande anvisningar till vägmärken.</w:t>
      </w:r>
    </w:p>
    <w:p w:rsidR="00214646" w:rsidRPr="00A71C25" w:rsidRDefault="00214646" w:rsidP="00214646">
      <w:pPr>
        <w:rPr>
          <w:rFonts w:ascii="Georgia" w:hAnsi="Georgia"/>
          <w:sz w:val="20"/>
          <w:szCs w:val="20"/>
        </w:rPr>
      </w:pPr>
      <w:r w:rsidRPr="00A71C25">
        <w:rPr>
          <w:rFonts w:ascii="Georgia" w:hAnsi="Georgia"/>
          <w:sz w:val="20"/>
          <w:szCs w:val="20"/>
        </w:rPr>
        <w:t xml:space="preserve">En tilläggstavla har samma bottenfärg och samma färg på bård och tecken som det vägmärke det används under, om inte annat anges i 30 §. En </w:t>
      </w:r>
      <w:proofErr w:type="spellStart"/>
      <w:r w:rsidRPr="00A71C25">
        <w:rPr>
          <w:rFonts w:ascii="Georgia" w:hAnsi="Georgia"/>
          <w:sz w:val="20"/>
          <w:szCs w:val="20"/>
        </w:rPr>
        <w:t>tillläggstavla</w:t>
      </w:r>
      <w:proofErr w:type="spellEnd"/>
      <w:r w:rsidRPr="00A71C25">
        <w:rPr>
          <w:rFonts w:ascii="Georgia" w:hAnsi="Georgia"/>
          <w:sz w:val="20"/>
          <w:szCs w:val="20"/>
        </w:rPr>
        <w:t xml:space="preserve"> under ett märke som anger förbud mot att parkera eller förbud mot att stanna eller parkera har dock gul bottenfärg med svarta tecken.</w:t>
      </w:r>
    </w:p>
    <w:p w:rsidR="00214646" w:rsidRPr="00A71C25" w:rsidRDefault="00214646" w:rsidP="00214646">
      <w:pPr>
        <w:rPr>
          <w:rFonts w:ascii="Georgia" w:hAnsi="Georgia"/>
          <w:sz w:val="20"/>
          <w:szCs w:val="20"/>
        </w:rPr>
      </w:pPr>
      <w:r w:rsidRPr="00A71C25">
        <w:rPr>
          <w:rFonts w:ascii="Georgia" w:hAnsi="Georgia"/>
          <w:sz w:val="20"/>
          <w:szCs w:val="20"/>
        </w:rPr>
        <w:t xml:space="preserve"> </w:t>
      </w:r>
    </w:p>
    <w:p w:rsidR="00214646" w:rsidRPr="00A71C25" w:rsidRDefault="00214646" w:rsidP="00214646">
      <w:pPr>
        <w:rPr>
          <w:rFonts w:ascii="Georgia" w:hAnsi="Georgia"/>
          <w:sz w:val="20"/>
          <w:szCs w:val="20"/>
        </w:rPr>
      </w:pPr>
      <w:r w:rsidRPr="00A71C25">
        <w:rPr>
          <w:rFonts w:ascii="Georgia" w:hAnsi="Georgia"/>
          <w:sz w:val="20"/>
          <w:szCs w:val="20"/>
        </w:rPr>
        <w:t>30 § Tilläggstavlor är följande.</w:t>
      </w:r>
    </w:p>
    <w:p w:rsidR="00214646" w:rsidRPr="00A71C25" w:rsidRDefault="00214646" w:rsidP="00214646">
      <w:pPr>
        <w:rPr>
          <w:rFonts w:ascii="Georgia" w:hAnsi="Georgia"/>
          <w:sz w:val="20"/>
          <w:szCs w:val="20"/>
        </w:rPr>
      </w:pPr>
      <w:r w:rsidRPr="00A71C25">
        <w:rPr>
          <w:rFonts w:ascii="Georgia" w:hAnsi="Georgia"/>
          <w:sz w:val="20"/>
          <w:szCs w:val="20"/>
        </w:rPr>
        <w:t xml:space="preserve"> </w:t>
      </w:r>
    </w:p>
    <w:p w:rsidR="00214646" w:rsidRPr="00A71C25" w:rsidRDefault="00214646" w:rsidP="00214646">
      <w:pPr>
        <w:rPr>
          <w:rFonts w:ascii="Georgia" w:hAnsi="Georgia"/>
          <w:sz w:val="20"/>
          <w:szCs w:val="20"/>
        </w:rPr>
      </w:pPr>
      <w:r w:rsidRPr="00A71C25">
        <w:rPr>
          <w:rFonts w:ascii="Georgia" w:hAnsi="Georgia"/>
          <w:sz w:val="20"/>
          <w:szCs w:val="20"/>
        </w:rPr>
        <w:t xml:space="preserve">Tavla                           </w:t>
      </w:r>
      <w:r w:rsidRPr="00A71C25">
        <w:rPr>
          <w:rFonts w:ascii="Georgia" w:hAnsi="Georgia"/>
          <w:sz w:val="20"/>
          <w:szCs w:val="20"/>
        </w:rPr>
        <w:tab/>
        <w:t>Närmare föreskrifter</w:t>
      </w:r>
    </w:p>
    <w:p w:rsidR="00214646" w:rsidRPr="00A71C25" w:rsidRDefault="00214646" w:rsidP="00214646">
      <w:pPr>
        <w:rPr>
          <w:rFonts w:ascii="Georgia" w:hAnsi="Georgia"/>
          <w:sz w:val="20"/>
          <w:szCs w:val="20"/>
        </w:rPr>
      </w:pPr>
      <w:r w:rsidRPr="00A71C25">
        <w:rPr>
          <w:rFonts w:ascii="Georgia" w:hAnsi="Georgia"/>
          <w:sz w:val="20"/>
          <w:szCs w:val="20"/>
        </w:rPr>
        <w:t xml:space="preserve">T1 Vägsträckas längd            </w:t>
      </w:r>
      <w:r w:rsidRPr="00A71C25">
        <w:rPr>
          <w:rFonts w:ascii="Georgia" w:hAnsi="Georgia"/>
          <w:sz w:val="20"/>
          <w:szCs w:val="20"/>
        </w:rPr>
        <w:tab/>
        <w:t>Tavlan anger början och slutet</w:t>
      </w:r>
      <w:r w:rsidR="00CC4595">
        <w:rPr>
          <w:rFonts w:ascii="Georgia" w:hAnsi="Georgia"/>
          <w:sz w:val="20"/>
          <w:szCs w:val="20"/>
        </w:rPr>
        <w:t xml:space="preserve"> </w:t>
      </w:r>
      <w:r w:rsidRPr="00A71C25">
        <w:rPr>
          <w:rFonts w:ascii="Georgia" w:hAnsi="Georgia"/>
          <w:sz w:val="20"/>
          <w:szCs w:val="20"/>
        </w:rPr>
        <w:t>på en vägsträcka.</w:t>
      </w:r>
    </w:p>
    <w:p w:rsidR="00214646" w:rsidRPr="00A71C25" w:rsidRDefault="00214646" w:rsidP="00214646">
      <w:pPr>
        <w:rPr>
          <w:rFonts w:ascii="Georgia" w:hAnsi="Georgia"/>
          <w:sz w:val="20"/>
          <w:szCs w:val="20"/>
        </w:rPr>
      </w:pPr>
      <w:r w:rsidRPr="00A71C25">
        <w:rPr>
          <w:rFonts w:ascii="Georgia" w:hAnsi="Georgia"/>
          <w:sz w:val="20"/>
          <w:szCs w:val="20"/>
        </w:rPr>
        <w:t xml:space="preserve">T2 Avstånd                      </w:t>
      </w:r>
      <w:r w:rsidRPr="00A71C25">
        <w:rPr>
          <w:rFonts w:ascii="Georgia" w:hAnsi="Georgia"/>
          <w:sz w:val="20"/>
          <w:szCs w:val="20"/>
        </w:rPr>
        <w:tab/>
        <w:t>Tavlan anger avståndet till det som vägmärket avser.</w:t>
      </w:r>
    </w:p>
    <w:p w:rsidR="00214646" w:rsidRPr="00A71C25" w:rsidRDefault="00214646" w:rsidP="00214646">
      <w:pPr>
        <w:rPr>
          <w:rFonts w:ascii="Georgia" w:hAnsi="Georgia"/>
          <w:sz w:val="20"/>
          <w:szCs w:val="20"/>
        </w:rPr>
      </w:pPr>
      <w:r w:rsidRPr="00A71C25">
        <w:rPr>
          <w:rFonts w:ascii="Georgia" w:hAnsi="Georgia"/>
          <w:sz w:val="20"/>
          <w:szCs w:val="20"/>
        </w:rPr>
        <w:t xml:space="preserve">T11 Utsträckning                </w:t>
      </w:r>
      <w:r w:rsidRPr="00A71C25">
        <w:rPr>
          <w:rFonts w:ascii="Georgia" w:hAnsi="Georgia"/>
          <w:sz w:val="20"/>
          <w:szCs w:val="20"/>
        </w:rPr>
        <w:tab/>
        <w:t>T</w:t>
      </w:r>
      <w:r w:rsidR="00CC4595">
        <w:rPr>
          <w:rFonts w:ascii="Georgia" w:hAnsi="Georgia"/>
          <w:sz w:val="20"/>
          <w:szCs w:val="20"/>
        </w:rPr>
        <w:t xml:space="preserve">avlan med dubbelriktade pilar, </w:t>
      </w:r>
      <w:r w:rsidRPr="00A71C25">
        <w:rPr>
          <w:rFonts w:ascii="Georgia" w:hAnsi="Georgia"/>
          <w:sz w:val="20"/>
          <w:szCs w:val="20"/>
        </w:rPr>
        <w:t xml:space="preserve">uppsatt vågrätt eller lodrätt,                                </w:t>
      </w:r>
      <w:r w:rsidRPr="00A71C25">
        <w:rPr>
          <w:rFonts w:ascii="Georgia" w:hAnsi="Georgia"/>
          <w:sz w:val="20"/>
          <w:szCs w:val="20"/>
        </w:rPr>
        <w:tab/>
      </w:r>
      <w:r w:rsidRPr="00A71C25">
        <w:rPr>
          <w:rFonts w:ascii="Georgia" w:hAnsi="Georgia"/>
          <w:sz w:val="20"/>
          <w:szCs w:val="20"/>
        </w:rPr>
        <w:tab/>
        <w:t>anger att angivelsen gäller på båda sidor av märket.</w:t>
      </w:r>
    </w:p>
    <w:p w:rsidR="00214646" w:rsidRPr="00A71C25" w:rsidRDefault="00214646" w:rsidP="00214646">
      <w:pPr>
        <w:rPr>
          <w:rFonts w:ascii="Georgia" w:hAnsi="Georgia"/>
          <w:sz w:val="20"/>
          <w:szCs w:val="20"/>
        </w:rPr>
      </w:pPr>
      <w:r w:rsidRPr="00A71C25">
        <w:rPr>
          <w:rFonts w:ascii="Georgia" w:hAnsi="Georgia"/>
          <w:sz w:val="20"/>
          <w:szCs w:val="20"/>
        </w:rPr>
        <w:t xml:space="preserve">                                </w:t>
      </w:r>
      <w:r w:rsidRPr="00A71C25">
        <w:rPr>
          <w:rFonts w:ascii="Georgia" w:hAnsi="Georgia"/>
          <w:sz w:val="20"/>
          <w:szCs w:val="20"/>
        </w:rPr>
        <w:tab/>
        <w:t>Tavlan med nedåtriktad pil anger att angivelsen slutar.</w:t>
      </w:r>
    </w:p>
    <w:p w:rsidR="00214646" w:rsidRPr="00A71C25" w:rsidRDefault="00214646" w:rsidP="00214646">
      <w:pPr>
        <w:rPr>
          <w:rFonts w:ascii="Georgia" w:hAnsi="Georgia"/>
          <w:sz w:val="20"/>
          <w:szCs w:val="20"/>
        </w:rPr>
      </w:pPr>
      <w:r w:rsidRPr="00A71C25">
        <w:rPr>
          <w:rFonts w:ascii="Georgia" w:hAnsi="Georgia"/>
          <w:sz w:val="20"/>
          <w:szCs w:val="20"/>
        </w:rPr>
        <w:t xml:space="preserve">                               </w:t>
      </w:r>
      <w:r w:rsidRPr="00A71C25">
        <w:rPr>
          <w:rFonts w:ascii="Georgia" w:hAnsi="Georgia"/>
          <w:sz w:val="20"/>
          <w:szCs w:val="20"/>
        </w:rPr>
        <w:tab/>
        <w:t xml:space="preserve"> Tavlan med höger- eller vänsterriktad pil visar att                             </w:t>
      </w:r>
      <w:r w:rsidRPr="00A71C25">
        <w:rPr>
          <w:rFonts w:ascii="Georgia" w:hAnsi="Georgia"/>
          <w:sz w:val="20"/>
          <w:szCs w:val="20"/>
        </w:rPr>
        <w:tab/>
      </w:r>
      <w:r w:rsidRPr="00A71C25">
        <w:rPr>
          <w:rFonts w:ascii="Georgia" w:hAnsi="Georgia"/>
          <w:sz w:val="20"/>
          <w:szCs w:val="20"/>
        </w:rPr>
        <w:tab/>
        <w:t>angivelsen gäller åt det håll pilen visar.</w:t>
      </w:r>
    </w:p>
    <w:p w:rsidR="00214646" w:rsidRPr="00A71C25" w:rsidRDefault="00214646" w:rsidP="00214646">
      <w:pPr>
        <w:rPr>
          <w:rFonts w:ascii="Georgia" w:hAnsi="Georgia"/>
          <w:sz w:val="20"/>
          <w:szCs w:val="20"/>
        </w:rPr>
      </w:pPr>
      <w:r w:rsidRPr="00A71C25">
        <w:rPr>
          <w:rFonts w:ascii="Georgia" w:hAnsi="Georgia"/>
          <w:sz w:val="20"/>
          <w:szCs w:val="20"/>
        </w:rPr>
        <w:t xml:space="preserve">T12 Riktning                    </w:t>
      </w:r>
      <w:r w:rsidRPr="00A71C25">
        <w:rPr>
          <w:rFonts w:ascii="Georgia" w:hAnsi="Georgia"/>
          <w:sz w:val="20"/>
          <w:szCs w:val="20"/>
        </w:rPr>
        <w:tab/>
        <w:t>Tavlan anger riktning till angivelsen på märket.</w:t>
      </w:r>
    </w:p>
    <w:p w:rsidR="00214646" w:rsidRPr="00A71C25" w:rsidRDefault="00214646" w:rsidP="00214646">
      <w:pPr>
        <w:rPr>
          <w:rFonts w:ascii="Georgia" w:hAnsi="Georgia"/>
          <w:sz w:val="20"/>
          <w:szCs w:val="20"/>
        </w:rPr>
      </w:pPr>
      <w:r w:rsidRPr="00A71C25">
        <w:rPr>
          <w:rFonts w:ascii="Georgia" w:hAnsi="Georgia"/>
          <w:sz w:val="20"/>
          <w:szCs w:val="20"/>
        </w:rPr>
        <w:t xml:space="preserve">                                </w:t>
      </w:r>
      <w:r w:rsidRPr="00A71C25">
        <w:rPr>
          <w:rFonts w:ascii="Georgia" w:hAnsi="Georgia"/>
          <w:sz w:val="20"/>
          <w:szCs w:val="20"/>
        </w:rPr>
        <w:tab/>
        <w:t>Tavlan är anpassad till förhållandena på platsen.</w:t>
      </w:r>
    </w:p>
    <w:p w:rsidR="0013339B" w:rsidRPr="00A71C25" w:rsidRDefault="0013339B" w:rsidP="00214646">
      <w:pPr>
        <w:rPr>
          <w:rFonts w:ascii="Georgia" w:hAnsi="Georgia"/>
          <w:sz w:val="20"/>
          <w:szCs w:val="20"/>
        </w:rPr>
      </w:pPr>
    </w:p>
    <w:p w:rsidR="0013339B" w:rsidRPr="00A71C25" w:rsidRDefault="0013339B" w:rsidP="0013339B">
      <w:pPr>
        <w:rPr>
          <w:rFonts w:ascii="Georgia" w:hAnsi="Georgia"/>
          <w:b/>
          <w:sz w:val="20"/>
          <w:szCs w:val="20"/>
        </w:rPr>
      </w:pPr>
      <w:r w:rsidRPr="00A71C25">
        <w:rPr>
          <w:rFonts w:ascii="Georgia" w:hAnsi="Georgia"/>
          <w:b/>
        </w:rPr>
        <w:t>Trafikförordning (</w:t>
      </w:r>
      <w:proofErr w:type="gramStart"/>
      <w:r w:rsidRPr="00A71C25">
        <w:rPr>
          <w:rFonts w:ascii="Georgia" w:hAnsi="Georgia"/>
          <w:b/>
        </w:rPr>
        <w:t>1998:1276</w:t>
      </w:r>
      <w:proofErr w:type="gramEnd"/>
      <w:r w:rsidRPr="00A71C25">
        <w:rPr>
          <w:rFonts w:ascii="Georgia" w:hAnsi="Georgia"/>
          <w:b/>
        </w:rPr>
        <w:t>)</w:t>
      </w:r>
      <w:r w:rsidRPr="00A71C25">
        <w:rPr>
          <w:rFonts w:ascii="Georgia" w:hAnsi="Georgia"/>
          <w:b/>
          <w:sz w:val="20"/>
          <w:szCs w:val="20"/>
        </w:rPr>
        <w:t xml:space="preserve"> </w:t>
      </w:r>
      <w:r w:rsidR="00A71C25">
        <w:rPr>
          <w:rFonts w:ascii="Georgia" w:hAnsi="Georgia"/>
          <w:b/>
          <w:sz w:val="20"/>
          <w:szCs w:val="20"/>
        </w:rPr>
        <w:br/>
      </w:r>
      <w:r w:rsidR="00A71C25">
        <w:rPr>
          <w:rFonts w:ascii="Georgia" w:hAnsi="Georgia"/>
          <w:b/>
          <w:sz w:val="20"/>
          <w:szCs w:val="20"/>
        </w:rPr>
        <w:br/>
        <w:t>K</w:t>
      </w:r>
      <w:r w:rsidRPr="00A71C25">
        <w:rPr>
          <w:rFonts w:ascii="Georgia" w:hAnsi="Georgia"/>
          <w:b/>
          <w:sz w:val="20"/>
          <w:szCs w:val="20"/>
        </w:rPr>
        <w:t>apitel 2 Rubbande av trafikanordning och hinder på väg</w:t>
      </w:r>
    </w:p>
    <w:p w:rsidR="0013339B" w:rsidRPr="00A71C25" w:rsidRDefault="00A71C25" w:rsidP="0013339B">
      <w:pPr>
        <w:rPr>
          <w:rFonts w:ascii="Georgia" w:hAnsi="Georgia"/>
          <w:b/>
          <w:sz w:val="20"/>
          <w:szCs w:val="20"/>
        </w:rPr>
      </w:pPr>
      <w:r>
        <w:rPr>
          <w:rFonts w:ascii="Georgia" w:hAnsi="Georgia"/>
          <w:b/>
          <w:sz w:val="20"/>
          <w:szCs w:val="20"/>
        </w:rPr>
        <w:t xml:space="preserve">§ </w:t>
      </w:r>
      <w:r>
        <w:rPr>
          <w:rFonts w:ascii="Georgia" w:hAnsi="Georgia"/>
          <w:sz w:val="20"/>
          <w:szCs w:val="20"/>
        </w:rPr>
        <w:t>9</w:t>
      </w:r>
      <w:r w:rsidR="0013339B" w:rsidRPr="00A71C25">
        <w:rPr>
          <w:rFonts w:ascii="Georgia" w:hAnsi="Georgia"/>
          <w:sz w:val="20"/>
          <w:szCs w:val="20"/>
        </w:rPr>
        <w:t xml:space="preserve"> Vägmärken, vägmarkeringar, trafiksignaler och andra anordningar för trafiken får inte rubbas eller ändras. Den som rubbat eller ändrat ett vägmärke, en vägmarkering, en trafiksignal eller någon annan anordning för trafiken skall omedelbart återställa anordningen i tillfredsställande skick. Om det inte går, skall han eller hon snarast underrätta polis eller den som satt upp och underhåller anordningen om förhållandet samt vidta de åtgärder som trafiken kräver.)</w:t>
      </w:r>
    </w:p>
    <w:p w:rsidR="0013339B" w:rsidRPr="00A71C25" w:rsidRDefault="0013339B" w:rsidP="0013339B">
      <w:pPr>
        <w:rPr>
          <w:rFonts w:ascii="Georgia" w:hAnsi="Georgia"/>
          <w:sz w:val="20"/>
          <w:szCs w:val="20"/>
        </w:rPr>
      </w:pPr>
      <w:r w:rsidRPr="00A71C25">
        <w:rPr>
          <w:rFonts w:ascii="Georgia" w:hAnsi="Georgia"/>
          <w:sz w:val="20"/>
          <w:szCs w:val="20"/>
        </w:rPr>
        <w:t xml:space="preserve"> </w:t>
      </w:r>
    </w:p>
    <w:p w:rsidR="0013339B" w:rsidRPr="00A71C25" w:rsidRDefault="0013339B" w:rsidP="0013339B">
      <w:pPr>
        <w:rPr>
          <w:rFonts w:ascii="Georgia" w:hAnsi="Georgia"/>
          <w:sz w:val="20"/>
          <w:szCs w:val="20"/>
        </w:rPr>
      </w:pPr>
      <w:r w:rsidRPr="00A71C25">
        <w:rPr>
          <w:rFonts w:ascii="Georgia" w:hAnsi="Georgia"/>
          <w:sz w:val="20"/>
          <w:szCs w:val="20"/>
        </w:rPr>
        <w:t>10 § Sådant som kan medföra fara eller olägenhet för trafiken får inte kastas eller lämnas på en väg.</w:t>
      </w:r>
    </w:p>
    <w:p w:rsidR="0013339B" w:rsidRPr="00A71C25" w:rsidRDefault="0013339B" w:rsidP="0013339B">
      <w:pPr>
        <w:rPr>
          <w:rFonts w:ascii="Georgia" w:hAnsi="Georgia"/>
          <w:sz w:val="20"/>
          <w:szCs w:val="20"/>
        </w:rPr>
      </w:pPr>
      <w:r w:rsidRPr="00A71C25">
        <w:rPr>
          <w:rFonts w:ascii="Georgia" w:hAnsi="Georgia"/>
          <w:sz w:val="20"/>
          <w:szCs w:val="20"/>
        </w:rPr>
        <w:t xml:space="preserve">    Den som förorsakat att något som kan medföra fara eller olägenhet för trafiken finns på vägen skall omedelbart avlägsna detta. Om det inte går skall han eller hon uppmärksamma andra på förhållandet genom utmärkning eller dylikt tills han eller hon låtit undanröja faran eller olägenheten.</w:t>
      </w:r>
    </w:p>
    <w:p w:rsidR="0013339B" w:rsidRPr="00A71C25" w:rsidRDefault="0013339B" w:rsidP="0013339B">
      <w:pPr>
        <w:rPr>
          <w:rFonts w:ascii="Georgia" w:hAnsi="Georgia"/>
          <w:b/>
          <w:sz w:val="20"/>
          <w:szCs w:val="20"/>
        </w:rPr>
      </w:pPr>
      <w:r w:rsidRPr="00A71C25">
        <w:rPr>
          <w:rFonts w:ascii="Georgia" w:hAnsi="Georgia"/>
          <w:sz w:val="20"/>
          <w:szCs w:val="20"/>
        </w:rPr>
        <w:br/>
      </w:r>
      <w:r w:rsidRPr="00A71C25">
        <w:rPr>
          <w:rFonts w:ascii="Georgia" w:hAnsi="Georgia"/>
          <w:b/>
          <w:sz w:val="20"/>
          <w:szCs w:val="20"/>
        </w:rPr>
        <w:t>Straffansvar: kapitel 14 Rubbande av trafikanordning och hinder på väg</w:t>
      </w:r>
    </w:p>
    <w:p w:rsidR="0013339B" w:rsidRPr="00A71C25" w:rsidRDefault="0013339B" w:rsidP="0013339B">
      <w:pPr>
        <w:rPr>
          <w:rFonts w:ascii="Georgia" w:hAnsi="Georgia"/>
          <w:sz w:val="20"/>
          <w:szCs w:val="20"/>
        </w:rPr>
      </w:pPr>
      <w:r w:rsidRPr="00A71C25">
        <w:rPr>
          <w:rFonts w:ascii="Georgia" w:hAnsi="Georgia"/>
          <w:sz w:val="20"/>
          <w:szCs w:val="20"/>
        </w:rPr>
        <w:t>2 § Den som uppsåtligen eller av oaktsamhet bryter mot bestämmelserna i 2 kap. 9 § om rubbande av trafikanordning eller i 2 kap. 10 § om hinder på väg döms till penningböter.</w:t>
      </w:r>
    </w:p>
    <w:p w:rsidR="0013339B" w:rsidRPr="00A71C25" w:rsidRDefault="0013339B" w:rsidP="0013339B">
      <w:pPr>
        <w:rPr>
          <w:rFonts w:ascii="Georgia" w:hAnsi="Georgia"/>
        </w:rPr>
      </w:pPr>
    </w:p>
    <w:p w:rsidR="00D74575" w:rsidRPr="00A71C25" w:rsidRDefault="00D74575" w:rsidP="00D74575">
      <w:pPr>
        <w:rPr>
          <w:rFonts w:ascii="Georgia" w:hAnsi="Georgia"/>
          <w:b/>
        </w:rPr>
      </w:pPr>
      <w:r w:rsidRPr="00A71C25">
        <w:rPr>
          <w:rFonts w:ascii="Georgia" w:hAnsi="Georgia"/>
          <w:b/>
        </w:rPr>
        <w:t xml:space="preserve">Väglagen </w:t>
      </w:r>
      <w:r w:rsidR="00A71C25">
        <w:rPr>
          <w:rFonts w:ascii="Georgia" w:hAnsi="Georgia"/>
          <w:b/>
        </w:rPr>
        <w:t>(1971:948)</w:t>
      </w:r>
      <w:r w:rsidRPr="00A71C25">
        <w:rPr>
          <w:rFonts w:ascii="Georgia" w:hAnsi="Georgia"/>
          <w:b/>
        </w:rPr>
        <w:t>Drift av väg</w:t>
      </w:r>
    </w:p>
    <w:p w:rsidR="00D74575" w:rsidRPr="00A71C25" w:rsidRDefault="00D74575" w:rsidP="00D74575">
      <w:pPr>
        <w:rPr>
          <w:rFonts w:ascii="Georgia" w:hAnsi="Georgia"/>
        </w:rPr>
      </w:pPr>
      <w:r w:rsidRPr="00A71C25">
        <w:rPr>
          <w:rFonts w:ascii="Georgia" w:hAnsi="Georgia"/>
        </w:rPr>
        <w:t xml:space="preserve">26 § Väg ska hållas i ett för samfärdseln tillfredsställande skick genom underhåll, reparation och andra åtgärder. Genom renhållning ska vägområdet hållas i ett sådant skick att olägenheter för människors hälsa förebyggs eller avhjälps och så att skäliga trevnadshänsyn blir tillgodosedda. Detsamma gäller i fråga om mark till en bredd av 25 meter intill parkeringsplats eller rastplats som är väganordning, i den mån allmänheten har tillträde till </w:t>
      </w:r>
      <w:r w:rsidRPr="00A71C25">
        <w:rPr>
          <w:rFonts w:ascii="Georgia" w:hAnsi="Georgia"/>
        </w:rPr>
        <w:lastRenderedPageBreak/>
        <w:t>marken. Inom områden med detaljplan gäller detta stycke endast områden för motorväg eller motortrafikled. Ytterligare krav i fråga om renhållning inom områden där detta stycke gäller får inte ställas med stöd av miljöbalken.</w:t>
      </w:r>
    </w:p>
    <w:p w:rsidR="00D74575" w:rsidRPr="00A71C25" w:rsidRDefault="00D74575" w:rsidP="00D74575">
      <w:pPr>
        <w:rPr>
          <w:rFonts w:ascii="Georgia" w:hAnsi="Georgia"/>
        </w:rPr>
      </w:pPr>
      <w:r w:rsidRPr="00A71C25">
        <w:rPr>
          <w:rFonts w:ascii="Georgia" w:hAnsi="Georgia"/>
        </w:rPr>
        <w:t xml:space="preserve">    De åtgärder som behövs för sådana ändamål som anges i första och andra styckena räknas till drift av väg. Till drift av väg räknas också serviceåtgärder och förbättringsåtgärder. Om särskilda skäl föreligger, får Trafikverket besluta om inskränkning i skyldigheten att vidta åtgärder för drift av väg. Trafikverket får i ett sådant beslut ange de villkor som behövs. Lag (2010:92). </w:t>
      </w:r>
    </w:p>
    <w:p w:rsidR="00D74575" w:rsidRPr="00A71C25" w:rsidRDefault="00D74575" w:rsidP="00D74575">
      <w:pPr>
        <w:rPr>
          <w:rFonts w:ascii="Georgia" w:hAnsi="Georgia"/>
        </w:rPr>
      </w:pPr>
    </w:p>
    <w:p w:rsidR="00D74575" w:rsidRPr="00A71C25" w:rsidRDefault="00D74575" w:rsidP="00D74575">
      <w:pPr>
        <w:rPr>
          <w:rFonts w:ascii="Georgia" w:hAnsi="Georgia"/>
          <w:b/>
        </w:rPr>
      </w:pPr>
      <w:r w:rsidRPr="00A71C25">
        <w:rPr>
          <w:rFonts w:ascii="Georgia" w:hAnsi="Georgia"/>
          <w:b/>
        </w:rPr>
        <w:t>Vägkungörelsen</w:t>
      </w:r>
      <w:r w:rsidR="00A71C25">
        <w:rPr>
          <w:rFonts w:ascii="Georgia" w:hAnsi="Georgia"/>
        </w:rPr>
        <w:t xml:space="preserve"> </w:t>
      </w:r>
      <w:r w:rsidR="00A71C25" w:rsidRPr="00A71C25">
        <w:rPr>
          <w:rFonts w:ascii="Georgia" w:hAnsi="Georgia"/>
          <w:b/>
        </w:rPr>
        <w:t>(1971:954)</w:t>
      </w:r>
      <w:r w:rsidR="00A71C25">
        <w:rPr>
          <w:rFonts w:ascii="Georgia" w:hAnsi="Georgia"/>
        </w:rPr>
        <w:br/>
      </w:r>
      <w:r w:rsidRPr="00A71C25">
        <w:rPr>
          <w:rFonts w:ascii="Georgia" w:hAnsi="Georgia"/>
          <w:b/>
        </w:rPr>
        <w:t>Drift av väg</w:t>
      </w:r>
    </w:p>
    <w:p w:rsidR="00D74575" w:rsidRPr="00A71C25" w:rsidRDefault="00D74575" w:rsidP="00D74575">
      <w:pPr>
        <w:rPr>
          <w:rFonts w:ascii="Georgia" w:hAnsi="Georgia"/>
        </w:rPr>
      </w:pPr>
      <w:r w:rsidRPr="00A71C25">
        <w:rPr>
          <w:rFonts w:ascii="Georgia" w:hAnsi="Georgia"/>
        </w:rPr>
        <w:t>45 § Drift av väg innefattar åtgärder som</w:t>
      </w:r>
    </w:p>
    <w:p w:rsidR="00D74575" w:rsidRPr="00A71C25" w:rsidRDefault="00D74575" w:rsidP="00D74575">
      <w:pPr>
        <w:rPr>
          <w:rFonts w:ascii="Georgia" w:hAnsi="Georgia"/>
        </w:rPr>
      </w:pPr>
      <w:r w:rsidRPr="00A71C25">
        <w:rPr>
          <w:rFonts w:ascii="Georgia" w:hAnsi="Georgia"/>
        </w:rPr>
        <w:t xml:space="preserve"> 1. säkerställer att trafiken kan komma fram, såsom snöplogning, halkbekämpning, reparation av mindre skador samt hyvling och dammbindning på grusvägar (servicearbeten),</w:t>
      </w:r>
    </w:p>
    <w:p w:rsidR="00D74575" w:rsidRPr="00A71C25" w:rsidRDefault="00D74575" w:rsidP="00D74575">
      <w:pPr>
        <w:rPr>
          <w:rFonts w:ascii="Georgia" w:hAnsi="Georgia"/>
        </w:rPr>
      </w:pPr>
      <w:r w:rsidRPr="00A71C25">
        <w:rPr>
          <w:rFonts w:ascii="Georgia" w:hAnsi="Georgia"/>
        </w:rPr>
        <w:t xml:space="preserve"> 2. vidmakthåller vägens standard, såsom förnyelse av slitlager och vägmarkeringar samt dikning (underhållsarbeten),</w:t>
      </w:r>
    </w:p>
    <w:p w:rsidR="00D74575" w:rsidRPr="00A71C25" w:rsidRDefault="00D74575" w:rsidP="00D74575">
      <w:pPr>
        <w:rPr>
          <w:rFonts w:ascii="Georgia" w:hAnsi="Georgia"/>
        </w:rPr>
      </w:pPr>
      <w:r w:rsidRPr="00A71C25">
        <w:rPr>
          <w:rFonts w:ascii="Georgia" w:hAnsi="Georgia"/>
        </w:rPr>
        <w:t xml:space="preserve"> 3. förbättrar vägens standard genom smärre åtgärder, såsom beläggning av grusväg, förstärkning av bärigheten och punktåtgärder för att öka trafiksäkerheten (förbättringsarbeten),</w:t>
      </w:r>
    </w:p>
    <w:p w:rsidR="00D74575" w:rsidRPr="00A71C25" w:rsidRDefault="00D74575" w:rsidP="00D74575">
      <w:pPr>
        <w:rPr>
          <w:rFonts w:ascii="Georgia" w:hAnsi="Georgia"/>
        </w:rPr>
      </w:pPr>
      <w:r w:rsidRPr="00A71C25">
        <w:rPr>
          <w:rFonts w:ascii="Georgia" w:hAnsi="Georgia"/>
        </w:rPr>
        <w:t xml:space="preserve"> 4. håller vägen ren, såsom sopning, borttagande av skräp och smuts samt ogräsbekämpning (renhållning), eller</w:t>
      </w:r>
    </w:p>
    <w:p w:rsidR="00D74575" w:rsidRPr="00A71C25" w:rsidRDefault="00D74575" w:rsidP="00D74575">
      <w:pPr>
        <w:rPr>
          <w:rFonts w:ascii="Georgia" w:hAnsi="Georgia"/>
        </w:rPr>
      </w:pPr>
      <w:r w:rsidRPr="00A71C25">
        <w:rPr>
          <w:rFonts w:ascii="Georgia" w:hAnsi="Georgia"/>
        </w:rPr>
        <w:t xml:space="preserve"> 5. på annat sätt håller vägen i ett för samfärdseln tillfredsställande skick. Förordning (1987:461).</w:t>
      </w:r>
    </w:p>
    <w:p w:rsidR="00D74575" w:rsidRPr="00A71C25" w:rsidRDefault="00D74575" w:rsidP="00D74575">
      <w:pPr>
        <w:rPr>
          <w:rFonts w:ascii="Georgia" w:hAnsi="Georgia"/>
        </w:rPr>
      </w:pPr>
    </w:p>
    <w:p w:rsidR="00D74575" w:rsidRPr="00A71C25" w:rsidRDefault="00A71C25" w:rsidP="00D74575">
      <w:pPr>
        <w:rPr>
          <w:rFonts w:ascii="Georgia" w:hAnsi="Georgia"/>
        </w:rPr>
      </w:pPr>
      <w:r w:rsidRPr="00A71C25">
        <w:rPr>
          <w:rFonts w:ascii="Georgia" w:hAnsi="Georgia"/>
          <w:b/>
        </w:rPr>
        <w:t xml:space="preserve">TRVKB 10 Bitumenlagda lager </w:t>
      </w:r>
      <w:r>
        <w:rPr>
          <w:rFonts w:ascii="Georgia" w:hAnsi="Georgia"/>
          <w:b/>
        </w:rPr>
        <w:t>, Friktionskrav på belagd väg,</w:t>
      </w:r>
      <w:r w:rsidR="00D74575" w:rsidRPr="00A71C25">
        <w:rPr>
          <w:rFonts w:ascii="Georgia" w:hAnsi="Georgia"/>
          <w:b/>
        </w:rPr>
        <w:t xml:space="preserve"> kap 10.1: </w:t>
      </w:r>
      <w:r w:rsidR="00D74575" w:rsidRPr="00A71C25">
        <w:rPr>
          <w:rFonts w:ascii="Georgia" w:hAnsi="Georgia"/>
          <w:b/>
        </w:rPr>
        <w:br/>
      </w:r>
      <w:r w:rsidR="00D74575" w:rsidRPr="00A71C25">
        <w:rPr>
          <w:rFonts w:ascii="Georgia" w:hAnsi="Georgia"/>
        </w:rPr>
        <w:t>” För vägbana, gångbana och cykelbana med bundet slitlager ska medelvärdet av friktionstalet på en 20 m sträcka vara ≥ 0,50. Friktionstalet ska bestämmas enligt VVMB 104, alternativ 2.”</w:t>
      </w:r>
    </w:p>
    <w:p w:rsidR="00D74575" w:rsidRPr="00A71C25" w:rsidRDefault="00D74575" w:rsidP="00214646">
      <w:pPr>
        <w:rPr>
          <w:rFonts w:ascii="Georgia" w:hAnsi="Georgia"/>
        </w:rPr>
      </w:pPr>
    </w:p>
    <w:p w:rsidR="00A71C25" w:rsidRDefault="00A71C25" w:rsidP="00214646">
      <w:pPr>
        <w:rPr>
          <w:rFonts w:ascii="Georgia" w:hAnsi="Georgia"/>
          <w:b/>
        </w:rPr>
      </w:pPr>
      <w:r w:rsidRPr="00A71C25">
        <w:rPr>
          <w:rFonts w:ascii="Georgia" w:hAnsi="Georgia"/>
        </w:rPr>
        <w:br/>
      </w:r>
      <w:r w:rsidRPr="00A71C25">
        <w:rPr>
          <w:rFonts w:ascii="Georgia" w:hAnsi="Georgia"/>
          <w:b/>
        </w:rPr>
        <w:t>Trafikverkets Tekniska krav för Arbete på väg, TRVK APV (TDOK 2012:86)</w:t>
      </w:r>
    </w:p>
    <w:p w:rsidR="00A71C25" w:rsidRPr="00A71C25" w:rsidRDefault="00A71C25" w:rsidP="00214646">
      <w:pPr>
        <w:rPr>
          <w:rFonts w:ascii="Georgia" w:hAnsi="Georgia"/>
          <w:b/>
        </w:rPr>
      </w:pPr>
      <w:r w:rsidRPr="00A71C25">
        <w:rPr>
          <w:rFonts w:ascii="Georgia" w:hAnsi="Georgia"/>
          <w:b/>
        </w:rPr>
        <w:t>Krav på skyltning</w:t>
      </w:r>
    </w:p>
    <w:p w:rsidR="00A71C25" w:rsidRPr="00A71C25" w:rsidRDefault="00A71C25" w:rsidP="00A71C25">
      <w:pPr>
        <w:rPr>
          <w:rFonts w:ascii="Georgia" w:hAnsi="Georgia"/>
          <w:b/>
        </w:rPr>
      </w:pPr>
      <w:r w:rsidRPr="00A71C25">
        <w:rPr>
          <w:rFonts w:ascii="Georgia" w:hAnsi="Georgia"/>
          <w:b/>
        </w:rPr>
        <w:t>2.9 Löst stenmaterial på vägbanan</w:t>
      </w:r>
    </w:p>
    <w:p w:rsidR="00A71C25" w:rsidRPr="00A71C25" w:rsidRDefault="00A71C25" w:rsidP="00A71C25">
      <w:pPr>
        <w:rPr>
          <w:rFonts w:ascii="Georgia" w:hAnsi="Georgia"/>
        </w:rPr>
      </w:pPr>
      <w:r w:rsidRPr="00A71C25">
        <w:rPr>
          <w:rFonts w:ascii="Georgia" w:hAnsi="Georgia"/>
        </w:rPr>
        <w:t>Om det förekommer löst stenmaterial på körbanan ska alltid märke A11 Varning för stenskott med tilläggstavla T1 Vägsträckas längd med sträckans längd angiven sättas upp.</w:t>
      </w:r>
    </w:p>
    <w:p w:rsidR="00A71C25" w:rsidRPr="00A71C25" w:rsidRDefault="00A71C25" w:rsidP="00A71C25">
      <w:pPr>
        <w:rPr>
          <w:rFonts w:ascii="Georgia" w:hAnsi="Georgia"/>
        </w:rPr>
      </w:pPr>
      <w:r w:rsidRPr="00A71C25">
        <w:rPr>
          <w:rFonts w:ascii="Georgia" w:hAnsi="Georgia"/>
        </w:rPr>
        <w:t>I samband med beläggningsarbete som kan resultera i löst stenmaterial på vägen ska hastigheten begränsas till 50 km/tim. När körbanan är fri från löst stenmaterial får hastigheten åter</w:t>
      </w:r>
      <w:r w:rsidR="00CC4595">
        <w:rPr>
          <w:rFonts w:ascii="Georgia" w:hAnsi="Georgia"/>
        </w:rPr>
        <w:t>gå till vägens ordinarie hastig</w:t>
      </w:r>
      <w:r w:rsidRPr="00A71C25">
        <w:rPr>
          <w:rFonts w:ascii="Georgia" w:hAnsi="Georgia"/>
        </w:rPr>
        <w:t>hetsbegränsning, om lokala förhållanden i övrigt gör det möjligt.</w:t>
      </w:r>
    </w:p>
    <w:p w:rsidR="00CC4595" w:rsidRDefault="00CC4595" w:rsidP="00A71C25">
      <w:pPr>
        <w:rPr>
          <w:rFonts w:ascii="Georgia" w:hAnsi="Georgia"/>
          <w:b/>
        </w:rPr>
      </w:pPr>
    </w:p>
    <w:p w:rsidR="00A71C25" w:rsidRPr="00A71C25" w:rsidRDefault="00A71C25" w:rsidP="00A71C25">
      <w:pPr>
        <w:rPr>
          <w:rFonts w:ascii="Georgia" w:hAnsi="Georgia"/>
          <w:b/>
        </w:rPr>
      </w:pPr>
      <w:r w:rsidRPr="00A71C25">
        <w:rPr>
          <w:rFonts w:ascii="Georgia" w:hAnsi="Georgia"/>
          <w:b/>
        </w:rPr>
        <w:t>2.10 Halkbekämpning</w:t>
      </w:r>
    </w:p>
    <w:p w:rsidR="00A71C25" w:rsidRPr="00A71C25" w:rsidRDefault="00A71C25" w:rsidP="00A71C25">
      <w:pPr>
        <w:rPr>
          <w:rFonts w:ascii="Georgia" w:hAnsi="Georgia"/>
        </w:rPr>
      </w:pPr>
      <w:r w:rsidRPr="00A71C25">
        <w:rPr>
          <w:rFonts w:ascii="Georgia" w:hAnsi="Georgia"/>
        </w:rPr>
        <w:t>Vid halka förorsakad av entreprenaden, ska nödvändiga halkbekämpningsåtgärder vidtas utan dröjsmål. Om åtgärder vid halka förorsakad av entreprenaden inte kan utföras omgående, eller vid befarad risk för halka till följd av entreprenaden, ska varningsmärke A10 Varning för slirig väg sättas upp. Om en vägsträcka som påverkas av vägarbete överstiger 250 meter ska märket kompletteras med tilläggstavla T1 Vägsträckas längd med sträckans längd angiven. Om halkan medför väsentligt ökad olycksrisk ska leverantören begära att Trafikverkets region utfärdar föreskrifter om hastighetsbegränsning.</w:t>
      </w:r>
    </w:p>
    <w:p w:rsidR="00A71C25" w:rsidRPr="00A71C25" w:rsidRDefault="00A71C25" w:rsidP="00A71C25">
      <w:pPr>
        <w:rPr>
          <w:rFonts w:ascii="Georgia" w:hAnsi="Georgia"/>
        </w:rPr>
      </w:pPr>
    </w:p>
    <w:p w:rsidR="00A71C25" w:rsidRPr="00A71C25" w:rsidRDefault="00A71C25" w:rsidP="00A71C25">
      <w:pPr>
        <w:rPr>
          <w:rFonts w:ascii="Georgia" w:hAnsi="Georgia"/>
          <w:b/>
        </w:rPr>
      </w:pPr>
      <w:r w:rsidRPr="00A71C25">
        <w:rPr>
          <w:rFonts w:ascii="Georgia" w:hAnsi="Georgia"/>
          <w:b/>
        </w:rPr>
        <w:t>Trafikverkets Tekniska råd för Arbete på Väg, TRVR APV (TDOK 2012:88)</w:t>
      </w:r>
    </w:p>
    <w:p w:rsidR="00A71C25" w:rsidRPr="00A71C25" w:rsidRDefault="00A71C25" w:rsidP="00A71C25">
      <w:pPr>
        <w:rPr>
          <w:rFonts w:ascii="Georgia" w:hAnsi="Georgia"/>
        </w:rPr>
      </w:pPr>
      <w:r w:rsidRPr="00A71C25">
        <w:rPr>
          <w:rFonts w:ascii="Georgia" w:hAnsi="Georgia"/>
          <w:b/>
        </w:rPr>
        <w:t>2.9 Löst material på vägbanan</w:t>
      </w:r>
      <w:r w:rsidRPr="00A71C25">
        <w:rPr>
          <w:rFonts w:ascii="Georgia" w:hAnsi="Georgia"/>
        </w:rPr>
        <w:br/>
        <w:t xml:space="preserve">Bestämmelserna om löst stenmaterial gäller vid alla typer av vägarbeten. Om det bedöms som nödvändigt vid risk för stenskott ska hastighetsföreskrift utfärdas och märkas ut. </w:t>
      </w:r>
      <w:r w:rsidRPr="00A71C25">
        <w:rPr>
          <w:rFonts w:ascii="Georgia" w:hAnsi="Georgia"/>
        </w:rPr>
        <w:br/>
      </w:r>
    </w:p>
    <w:p w:rsidR="0013339B" w:rsidRPr="00A71C25" w:rsidRDefault="0013339B" w:rsidP="00EB6E10">
      <w:pPr>
        <w:rPr>
          <w:rFonts w:ascii="Georgia" w:hAnsi="Georgia"/>
        </w:rPr>
      </w:pPr>
      <w:bookmarkStart w:id="0" w:name="_GoBack"/>
      <w:bookmarkEnd w:id="0"/>
    </w:p>
    <w:sectPr w:rsidR="0013339B" w:rsidRPr="00A71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46"/>
    <w:rsid w:val="0013339B"/>
    <w:rsid w:val="00214646"/>
    <w:rsid w:val="00A71C25"/>
    <w:rsid w:val="00C2573E"/>
    <w:rsid w:val="00CC4595"/>
    <w:rsid w:val="00D74575"/>
    <w:rsid w:val="00EB6E10"/>
    <w:rsid w:val="00F75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1116</Words>
  <Characters>5920</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Nordqvist</dc:creator>
  <cp:lastModifiedBy>Maria Nordqvist</cp:lastModifiedBy>
  <cp:revision>6</cp:revision>
  <dcterms:created xsi:type="dcterms:W3CDTF">2013-09-27T09:24:00Z</dcterms:created>
  <dcterms:modified xsi:type="dcterms:W3CDTF">2013-12-04T10:55:00Z</dcterms:modified>
</cp:coreProperties>
</file>